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9D" w:rsidRPr="0095329D" w:rsidRDefault="0095329D" w:rsidP="0095329D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es-CL"/>
        </w:rPr>
        <w:t>Preguntas Frecuentes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1. ¿Qué es el Proyecto Educativo Institucional, PEI?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El Proyecto Educativo Institucional, más conocido como PEI, es un documento de carácter participativo que define la misión, visión y valores institucionales en los ámbitos de la formación de pre y postgrado, de investigación, y de vinculación con el </w:t>
      </w:r>
      <w:proofErr w:type="gram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entorno  productivo</w:t>
      </w:r>
      <w:proofErr w:type="gram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 y social circundante. Representan aspectos esenciales del PEI el Modelo Educativo institucional, ME —en el cual la Universidad define las características del profesional que desea formar y plantea una posición educativa propia que involucra a los diversos integrantes de la institución— y el sistema de gestión, que orienta a la institución hacia una acción tendiente a garantizar el cumplimiento, con calidad, de las tareas necesarias para alcanzar sus objetivos. Usted lo puede encontrar en </w:t>
      </w:r>
      <w:hyperlink r:id="rId5" w:history="1">
        <w:r w:rsidRPr="0095329D">
          <w:rPr>
            <w:rFonts w:ascii="inherit" w:eastAsia="Times New Roman" w:hAnsi="inherit" w:cs="Arial"/>
            <w:color w:val="2F5596"/>
            <w:spacing w:val="-15"/>
            <w:sz w:val="27"/>
            <w:szCs w:val="27"/>
            <w:u w:val="single"/>
            <w:bdr w:val="none" w:sz="0" w:space="0" w:color="auto" w:frame="1"/>
            <w:lang w:eastAsia="es-CL"/>
          </w:rPr>
          <w:t>http://www.uantof.cl/public/docs/vicerectorias/pei-ua.pdf</w:t>
        </w:r>
      </w:hyperlink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2. ¿Qué es el Plan de Desarrollo Estratégico de la Universidad de Antofagasta, o PDEI?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El Plan de Desarrollo Estratégico, o PDEI, es un documento institucional de carácter participativo, complementario del PEI, que integra las estrategias, acciones, plazos e indicadores de desempeño, programados por la </w:t>
      </w:r>
      <w:proofErr w:type="gram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institución,  en</w:t>
      </w:r>
      <w:proofErr w:type="gram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 los distintos ámbitos (docencia, investigación, vinculación y gestión) para un periodo determinado.  El PDEI representa la carta de navegación que permite la materialización, monitoreo y evaluación de las acciones que la Universidad realiza para cumplir sus objetivos, con el fin de orientarla hacia un quehacer de calidad.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3. ¿Cuáles son los lineamientos estratégicos del Plan de Desarrollo Estratégico Institucional (2016 – 2020) de la Universidad de Antofagasta?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Los lineamientos estratégicos del Plan de Desarrollo Estratégico (PDEI) son:</w:t>
      </w:r>
    </w:p>
    <w:p w:rsidR="0095329D" w:rsidRPr="0095329D" w:rsidRDefault="0095329D" w:rsidP="009532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Desarrollo del quehacer académico de calidad.</w:t>
      </w:r>
    </w:p>
    <w:p w:rsidR="0095329D" w:rsidRPr="0095329D" w:rsidRDefault="0095329D" w:rsidP="009532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Vinculación del quehacer académico orientado a servir a los intereses de la región o nación.</w:t>
      </w:r>
    </w:p>
    <w:p w:rsidR="0095329D" w:rsidRDefault="0095329D" w:rsidP="009532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Gestión orientada a la autorregulación y manejo eficiente de los recursos.</w:t>
      </w:r>
    </w:p>
    <w:p w:rsidR="0095329D" w:rsidRPr="0095329D" w:rsidRDefault="0095329D" w:rsidP="0095329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 4. ¿Qué es el Modelo Educativo o propuesta pedagógica de la Universidad?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Es el conjunto de definiciones sobre el modelo y proceso de enseñanza-aprendizaje en la Institución y los criterios comunes de acción pedagógica que se expresan en el currículo y su desarrollo.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5. ¿Cuáles son los Principios Pedagógicos del Modelo Educativo institucional?</w:t>
      </w:r>
    </w:p>
    <w:p w:rsidR="0095329D" w:rsidRPr="0095329D" w:rsidRDefault="0095329D" w:rsidP="009532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Formación basada en Resultados de Aprendizaje y Demostración de Competencias.</w:t>
      </w:r>
    </w:p>
    <w:p w:rsidR="0095329D" w:rsidRPr="0095329D" w:rsidRDefault="0095329D" w:rsidP="009532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Formación centrada en el estudiante y en el aprendizaje significativo.</w:t>
      </w:r>
    </w:p>
    <w:p w:rsidR="0095329D" w:rsidRDefault="0095329D" w:rsidP="009532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lastRenderedPageBreak/>
        <w:t>Ética y reflexión de la enseñanza y el aprendizaje.</w:t>
      </w:r>
    </w:p>
    <w:p w:rsidR="0095329D" w:rsidRPr="0095329D" w:rsidRDefault="0095329D" w:rsidP="0095329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6. ¿Quiénes participan en el Diseño Curricular de la carrera o programa?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En este proceso participan el Comité de Rediseño de la carrera compuesto por académicos y estudiantes de </w:t>
      </w:r>
      <w:proofErr w:type="gram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 misma</w:t>
      </w:r>
      <w:proofErr w:type="gram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, así como empleadores, egresados y otros informantes clave. La Universidad ha establecido que este proceso sea progresivo y asesorado, de forma tal manera que todas las carreras o programas transiten desde un currículum tradicional, hacia uno basado en resultados de aprendizaje y demostración de competencias.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7. ¿Qué es y cómo se redacta un Resultado de Aprendizaje?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Los resultados de aprendizaje son enunciados explícitos acerca de lo que queremos que nuestros estudiantes sepan, comprendan y sean capaces de hacer y/o demostrar al término de un proceso de aprendizaje, o como resultado al completar nuestros cursos.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 taxonomía de Bloom se utiliza frecuentemente para redactar los resultados de aprendizaje dado que provee una estructura previamente creada y una lista de verbos. Estos verbos juegan un rol clave para redactar resultados de aprendizaje. La lista inicial de los verbos utilizados por Bloom fue limitada y ha sido ampliada por varios autores en el transcurso del tiempo.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 redacción de un 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Resultado de Aprendizaje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debe así contemplar un verbo de acción, seguido por el complemento del verbo y por una frase que le provea de contexto, de modo que facilite los procesos evaluativos y la autonomía de los estudiantes.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Ejemplo: 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“Relaciona </w:t>
      </w:r>
      <w:r w:rsidRPr="0095329D">
        <w:rPr>
          <w:rFonts w:ascii="inherit" w:eastAsia="Times New Roman" w:hAnsi="inherit" w:cs="Arial"/>
          <w:b/>
          <w:bCs/>
          <w:color w:val="FF0000"/>
          <w:spacing w:val="-15"/>
          <w:sz w:val="27"/>
          <w:szCs w:val="27"/>
          <w:bdr w:val="none" w:sz="0" w:space="0" w:color="auto" w:frame="1"/>
          <w:lang w:eastAsia="es-CL"/>
        </w:rPr>
        <w:t>(verbo)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los cambios de contenido calórico </w:t>
      </w:r>
      <w:r w:rsidRPr="0095329D">
        <w:rPr>
          <w:rFonts w:ascii="inherit" w:eastAsia="Times New Roman" w:hAnsi="inherit" w:cs="Arial"/>
          <w:b/>
          <w:bCs/>
          <w:color w:val="FF0000"/>
          <w:spacing w:val="-15"/>
          <w:sz w:val="27"/>
          <w:szCs w:val="27"/>
          <w:bdr w:val="none" w:sz="0" w:space="0" w:color="auto" w:frame="1"/>
          <w:lang w:eastAsia="es-CL"/>
        </w:rPr>
        <w:t>(complemento)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en reacciones exotérmicas y endotérmicas </w:t>
      </w:r>
      <w:r w:rsidRPr="0095329D">
        <w:rPr>
          <w:rFonts w:ascii="inherit" w:eastAsia="Times New Roman" w:hAnsi="inherit" w:cs="Arial"/>
          <w:b/>
          <w:bCs/>
          <w:color w:val="FF0000"/>
          <w:spacing w:val="-15"/>
          <w:sz w:val="27"/>
          <w:szCs w:val="27"/>
          <w:bdr w:val="none" w:sz="0" w:space="0" w:color="auto" w:frame="1"/>
          <w:lang w:eastAsia="es-CL"/>
        </w:rPr>
        <w:t>(contexto)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”</w:t>
      </w:r>
      <w:bookmarkStart w:id="0" w:name="_ftnref1"/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fldChar w:fldCharType="begin"/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instrText xml:space="preserve"> HYPERLINK "http://gcda.uantof.cl/inicio/biblioteca-y-recursos/preguntas-frecuentes/" \l "_ftn1" </w:instrTex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fldChar w:fldCharType="separate"/>
      </w:r>
      <w:r w:rsidRPr="0095329D">
        <w:rPr>
          <w:rFonts w:ascii="inherit" w:eastAsia="Times New Roman" w:hAnsi="inherit" w:cs="Arial"/>
          <w:b/>
          <w:bCs/>
          <w:color w:val="2F5596"/>
          <w:spacing w:val="-15"/>
          <w:sz w:val="27"/>
          <w:szCs w:val="27"/>
          <w:u w:val="single"/>
          <w:bdr w:val="none" w:sz="0" w:space="0" w:color="auto" w:frame="1"/>
          <w:lang w:eastAsia="es-CL"/>
        </w:rPr>
        <w:t>[1]</w:t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fldChar w:fldCharType="end"/>
      </w:r>
      <w:bookmarkEnd w:id="0"/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 8. ¿Dónde se registran los Resultados de Aprendizaje?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Los Resultados de Aprendizaje de una asignatura se explicitan en el </w:t>
      </w: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Programa de la Asignatura 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y la</w:t>
      </w: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Guía de Aprendizaje.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9. ¿Cuáles son las competencias genéricas de la Universidad de Antofagasta?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Las competencias genéricas de la UA son seis, una de ellas, Desarrollo Sostenible, representa el sello institucional. Cada carrera deberá integrarlas en su currículum ya sea de manera transversal o como parte de una actividad de aprendizaje específica.</w:t>
      </w:r>
    </w:p>
    <w:p w:rsidR="0095329D" w:rsidRP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Emprendimiento: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Conducta orientada al mejoramiento permanente de todo aquello que le rodea, para lograr una mejor calidad de vida.</w:t>
      </w:r>
    </w:p>
    <w:p w:rsidR="0095329D" w:rsidRP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Comunicación: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habilidad para comprender y expresar ideas a través de discursos orales y escritos.</w:t>
      </w:r>
    </w:p>
    <w:p w:rsidR="0095329D" w:rsidRP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lastRenderedPageBreak/>
        <w:t>Solución de Problemas: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Metodología con enfoque global y sistémico que permite identificar soluciones diferentes a situaciones problemáticas.</w:t>
      </w:r>
    </w:p>
    <w:p w:rsidR="0095329D" w:rsidRP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Trabajo en Equipo: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Disposición personal y la colaboración con otros en la realización de actividades para lograr objetivos comunes, intercambiando información, asumiendo responsabilidades, resolviendo dificultades que se presentan y contribuyendo a la mejora y desarrollo colectivo.</w:t>
      </w:r>
    </w:p>
    <w:p w:rsidR="0095329D" w:rsidRP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Dominio Segundo Idioma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: Habilidad para comunicarse en idioma inglés, en un nivel previamente definido, a través de cuatro habilidades comunicativas: comprensión auditiva y de lectura, reproducción oral y escrita (competencia que debe ser integrada en los Planes de Estudios de carreras de la UA.</w:t>
      </w:r>
    </w:p>
    <w:p w:rsidR="0095329D" w:rsidRDefault="0095329D" w:rsidP="0095329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Desarrollo Sostenible: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Manejo de recursos naturales, humanos, sociales, económicos y tecnológicos, con el fin de alcanzar una mejor calidad de vida para la población.</w:t>
      </w:r>
    </w:p>
    <w:p w:rsidR="0095329D" w:rsidRPr="0095329D" w:rsidRDefault="0095329D" w:rsidP="0095329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10. ¿Cuál es la competencia genérica sello de la Universidad de Antofagasta?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 competencia sello de la UA es </w:t>
      </w: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“Desarrollo Sostenible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” y debe ser incorporada en todos los currículums de carreras y programas, por lo tanto, los docentes se harán responsables de desarrollar actividades en el aula para su aprendizaje y movilización.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11. ¿Qué tipo de actividades curriculares conforman los Planes de Estudios de las Carreras?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Dentro del currículo formal, entre las actividades curriculares reconocidas están aquéllas integradas en: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Asignatura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Práctica Integradora o Internado.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Experiencia Clínica/Práctica Clínica.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Experiencia Clínica Simulada/Laboratorio de Simulación Clínica.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Actividad de Graduación.</w:t>
      </w:r>
    </w:p>
    <w:p w:rsidR="0095329D" w:rsidRPr="0095329D" w:rsidRDefault="0095329D" w:rsidP="0095329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Actividad de Titulación.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Estas actividades pueden ser complementadas por otras integradas en los mecanismos de: Reconocimiento de Actividades de Aprendizaje (RAC) y Reconocimiento de Aprendizajes Previos (RAP).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El mecanismo RAC reconoce actividades curriculares asociadas a planes y programas anteriores de la carrera, las que requieren, por ejemplo, de homologación para ser reconocidas dentro de la nueva estructura curricular rediseñada. En la actualidad, el RAC – UA favorece la transición entre planes y programas por objetivo y planes y programas por resultados de aprendizaje.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El RAP – UA, por su parte reconoce y valora el principio de “Reconocimiento de Aprendizajes Previos”, los cuales pueden ser alcanzados a través de instancias formales (experiencias de aprendizaje en otra carrera), fuera del currículo formal de las carreras 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lastRenderedPageBreak/>
        <w:t>de referencia (experiencia laboral), o como parte de experiencias de capacitación o entrenamiento. El RAP parte de la premisa que la adquisición de competencias no necesariamente dimana del proceso de aprendizaje – enseñanza de aula, encerrado en una asignatura, sino puede provenir de variadas experiencias de aprendizaje.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12. ¿Qué debo considerar en el proceso evaluativo?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Valga considerar, primeramente, que evaluación no es lo mismo que calificación. La primera forma parte de </w:t>
      </w:r>
      <w:proofErr w:type="gram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un  proceso</w:t>
      </w:r>
      <w:proofErr w:type="gram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 continuo en el marco del cual la calificación representa sólo una posibilidad de evaluación, pero no la única. Evaluar, al contrario de lo que se piensa, no siempre equivale a poner una nota.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El cuadro siguiente</w:t>
      </w:r>
      <w:bookmarkStart w:id="1" w:name="_ftnref2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begin"/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instrText xml:space="preserve"> HYPERLINK "http://gcda.uantof.cl/inicio/biblioteca-y-recursos/preguntas-frecuentes/" \l "_ftn2" </w:instrTex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separate"/>
      </w:r>
      <w:r w:rsidRPr="0095329D">
        <w:rPr>
          <w:rFonts w:ascii="inherit" w:eastAsia="Times New Roman" w:hAnsi="inherit" w:cs="Arial"/>
          <w:color w:val="2F5596"/>
          <w:spacing w:val="-15"/>
          <w:sz w:val="27"/>
          <w:szCs w:val="27"/>
          <w:u w:val="single"/>
          <w:bdr w:val="none" w:sz="0" w:space="0" w:color="auto" w:frame="1"/>
          <w:lang w:eastAsia="es-CL"/>
        </w:rPr>
        <w:t>[2]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end"/>
      </w:r>
      <w:bookmarkEnd w:id="1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establece las relaciones entre estos dos conceptos, mirados desde la perspectiva del antes, durante y después del proceso de aprendizaje – enseñanza:</w:t>
      </w:r>
    </w:p>
    <w:p w:rsid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</w:pPr>
      <w:r w:rsidRPr="0095329D">
        <w:rPr>
          <w:rFonts w:ascii="Arial" w:eastAsia="Times New Roman" w:hAnsi="Arial" w:cs="Arial"/>
          <w:b/>
          <w:bCs/>
          <w:noProof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drawing>
          <wp:inline distT="0" distB="0" distL="0" distR="0" wp14:anchorId="2742DE78" wp14:editId="72542D2F">
            <wp:extent cx="4162425" cy="435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13. ¿Qué procedimientos evaluativos se pueden utilizar?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Los procedimientos evaluativos deberán tener relación con los resultados de aprendizaje y actividades desarrolladas, de modo que su resultado refleje de manera real el aprendizaje del estudiante.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Existe una abundante y variada gama de instrumentos de evaluación. Entre éstos están: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Pruebas escritas.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lastRenderedPageBreak/>
        <w:t>Interrogaciones orales.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Informes individuales o de grupo.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Controles de lectura.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Trabajos de terreno.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Exposiciones/disertaciones.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Portafolios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Informes de investigación (avance y final).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Ensayos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Informe de proyecto.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Estudio de caso.</w:t>
      </w:r>
    </w:p>
    <w:p w:rsidR="0095329D" w:rsidRP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Dramatizaciones o role – </w:t>
      </w:r>
      <w:proofErr w:type="spell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playing</w:t>
      </w:r>
      <w:proofErr w:type="spell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.</w:t>
      </w:r>
    </w:p>
    <w:p w:rsidR="0095329D" w:rsidRDefault="0095329D" w:rsidP="0095329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Otros.</w:t>
      </w:r>
    </w:p>
    <w:p w:rsidR="0095329D" w:rsidRPr="0095329D" w:rsidRDefault="0095329D" w:rsidP="0095329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bookmarkStart w:id="2" w:name="_GoBack"/>
      <w:bookmarkEnd w:id="2"/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    14. ¿Cuál es el plazo para informar los resultados de la evaluación?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Arial" w:eastAsia="Times New Roman" w:hAnsi="Arial" w:cs="Arial"/>
          <w:b/>
          <w:bCs/>
          <w:i/>
          <w:iCs/>
          <w:color w:val="000000"/>
          <w:spacing w:val="-15"/>
          <w:sz w:val="27"/>
          <w:szCs w:val="27"/>
          <w:bdr w:val="none" w:sz="0" w:space="0" w:color="auto" w:frame="1"/>
          <w:lang w:eastAsia="es-CL"/>
        </w:rPr>
        <w:t> 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Las calificaciones escritas, incluidas las calificaciones de trabajos de investigación y talleres, deberán ser informadas dentro de los quince días posteriores a su realización.</w:t>
      </w:r>
    </w:p>
    <w:p w:rsidR="0095329D" w:rsidRPr="0095329D" w:rsidRDefault="0095329D" w:rsidP="0095329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Las calificaciones provenientes de evaluación oral, individual o grupal deberán ser informadas de manera inmediata.</w:t>
      </w:r>
    </w:p>
    <w:p w:rsidR="0095329D" w:rsidRPr="0095329D" w:rsidRDefault="0095329D" w:rsidP="0095329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El acumulado de calificaciones obtenidas durante el semestre deberá ser informado a los estudiantes en un lapso no inferior a dos semanas antes de la fecha de realización del examen final.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Toda vez que la calificación está inserta dentro de un proceso progresivo de monitoreo y seguimiento de aprendizajes, el cual incluye –en el nuevo modelo pedagógico UA—procesos remediales y de ajustes, es importante que los docentes se atengan a los plazos antes determinados. Así, los estudiantes rezagados pueden contar con tiempo suficiente no sólo para conocer sus progresos sino, a la vez, para compensar sus posibles falencias.</w:t>
      </w:r>
    </w:p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———————————-</w:t>
      </w:r>
    </w:p>
    <w:bookmarkStart w:id="3" w:name="_ftn1"/>
    <w:p w:rsidR="0095329D" w:rsidRPr="0095329D" w:rsidRDefault="0095329D" w:rsidP="00953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begin"/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instrText xml:space="preserve"> HYPERLINK "http://gcda.uantof.cl/inicio/biblioteca-y-recursos/preguntas-frecuentes/" \l "_ftnref1" </w:instrTex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separate"/>
      </w:r>
      <w:r w:rsidRPr="0095329D">
        <w:rPr>
          <w:rFonts w:ascii="inherit" w:eastAsia="Times New Roman" w:hAnsi="inherit" w:cs="Arial"/>
          <w:color w:val="2F5596"/>
          <w:spacing w:val="-15"/>
          <w:sz w:val="27"/>
          <w:szCs w:val="27"/>
          <w:u w:val="single"/>
          <w:bdr w:val="none" w:sz="0" w:space="0" w:color="auto" w:frame="1"/>
          <w:lang w:eastAsia="es-CL"/>
        </w:rPr>
        <w:t>[1]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end"/>
      </w:r>
      <w:bookmarkEnd w:id="3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 Ver </w:t>
      </w:r>
      <w:proofErr w:type="spellStart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Declan</w:t>
      </w:r>
      <w:proofErr w:type="spellEnd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 xml:space="preserve"> Kennedy,</w:t>
      </w:r>
    </w:p>
    <w:bookmarkStart w:id="4" w:name="_ftn2"/>
    <w:p w:rsidR="0095329D" w:rsidRPr="0095329D" w:rsidRDefault="0095329D" w:rsidP="0095329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</w:pP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begin"/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instrText xml:space="preserve"> HYPERLINK "http://gcda.uantof.cl/inicio/biblioteca-y-recursos/preguntas-frecuentes/" \l "_ftnref2" </w:instrTex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separate"/>
      </w:r>
      <w:r w:rsidRPr="0095329D">
        <w:rPr>
          <w:rFonts w:ascii="inherit" w:eastAsia="Times New Roman" w:hAnsi="inherit" w:cs="Arial"/>
          <w:color w:val="2F5596"/>
          <w:spacing w:val="-15"/>
          <w:sz w:val="27"/>
          <w:szCs w:val="27"/>
          <w:u w:val="single"/>
          <w:bdr w:val="none" w:sz="0" w:space="0" w:color="auto" w:frame="1"/>
          <w:lang w:eastAsia="es-CL"/>
        </w:rPr>
        <w:t>[2]</w:t>
      </w:r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fldChar w:fldCharType="end"/>
      </w:r>
      <w:bookmarkEnd w:id="4"/>
      <w:r w:rsidRPr="0095329D">
        <w:rPr>
          <w:rFonts w:ascii="inherit" w:eastAsia="Times New Roman" w:hAnsi="inherit" w:cs="Arial"/>
          <w:color w:val="000000"/>
          <w:spacing w:val="-15"/>
          <w:sz w:val="27"/>
          <w:szCs w:val="27"/>
          <w:lang w:eastAsia="es-CL"/>
        </w:rPr>
        <w:t> Extraído de </w:t>
      </w:r>
      <w:hyperlink r:id="rId7" w:history="1">
        <w:r w:rsidRPr="0095329D">
          <w:rPr>
            <w:rFonts w:ascii="inherit" w:eastAsia="Times New Roman" w:hAnsi="inherit" w:cs="Arial"/>
            <w:color w:val="2F5596"/>
            <w:spacing w:val="-15"/>
            <w:sz w:val="27"/>
            <w:szCs w:val="27"/>
            <w:u w:val="single"/>
            <w:bdr w:val="none" w:sz="0" w:space="0" w:color="auto" w:frame="1"/>
            <w:lang w:eastAsia="es-CL"/>
          </w:rPr>
          <w:t>http://ww2.educarchilportal.hee.cl/rramientas/planificaccion/1610/article-92129.html</w:t>
        </w:r>
      </w:hyperlink>
    </w:p>
    <w:p w:rsidR="00FA28CF" w:rsidRDefault="00FA28CF"/>
    <w:sectPr w:rsidR="00FA2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CBF"/>
    <w:multiLevelType w:val="multilevel"/>
    <w:tmpl w:val="32D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C520F"/>
    <w:multiLevelType w:val="multilevel"/>
    <w:tmpl w:val="8C9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D3DBE"/>
    <w:multiLevelType w:val="multilevel"/>
    <w:tmpl w:val="D4B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F478B"/>
    <w:multiLevelType w:val="multilevel"/>
    <w:tmpl w:val="A37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D156C"/>
    <w:multiLevelType w:val="multilevel"/>
    <w:tmpl w:val="FFE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42531"/>
    <w:multiLevelType w:val="multilevel"/>
    <w:tmpl w:val="EB3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D"/>
    <w:rsid w:val="0095329D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6FC59"/>
  <w15:chartTrackingRefBased/>
  <w15:docId w15:val="{56E4476C-35C7-4F99-B480-D44BCB8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DDDDD"/>
                <w:right w:val="none" w:sz="0" w:space="0" w:color="auto"/>
              </w:divBdr>
            </w:div>
          </w:divsChild>
        </w:div>
        <w:div w:id="201976827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9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2.educarchile.cl/portal.herramientas/planificaccion/1610/article-921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ntof.cl/public/docs/vicerectorias/pei-u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Galdames</dc:creator>
  <cp:keywords/>
  <dc:description/>
  <cp:lastModifiedBy>Mariana Galdames</cp:lastModifiedBy>
  <cp:revision>1</cp:revision>
  <dcterms:created xsi:type="dcterms:W3CDTF">2021-01-15T18:50:00Z</dcterms:created>
  <dcterms:modified xsi:type="dcterms:W3CDTF">2021-01-15T18:52:00Z</dcterms:modified>
</cp:coreProperties>
</file>